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1BB" w:rsidRPr="00C76676" w:rsidRDefault="00C171BB" w:rsidP="00C17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C171BB" w:rsidRPr="00C76676" w:rsidRDefault="00C171BB" w:rsidP="00C171BB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Default="00C171BB" w:rsidP="00C171B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C171BB" w:rsidRPr="00C76676" w:rsidRDefault="00C171BB" w:rsidP="00C171B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71BB" w:rsidRPr="00C76676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171BB" w:rsidRPr="00C76676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71BB" w:rsidRPr="00C76676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171BB" w:rsidRPr="00C76676" w:rsidRDefault="00C171BB" w:rsidP="00C171B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Pr="00C76676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171BB" w:rsidRDefault="00C171BB" w:rsidP="00C171BB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171BB" w:rsidRDefault="00C171BB" w:rsidP="00C171B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171BB" w:rsidRDefault="00C171BB" w:rsidP="00C171B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Default="00C171BB" w:rsidP="00C171BB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закрито заседание, проведено на 13.03.2026 г., доклад на работния екип по преписка № КЗК-</w:t>
      </w:r>
      <w:r>
        <w:rPr>
          <w:rFonts w:ascii="Times New Roman" w:hAnsi="Times New Roman" w:cs="Times New Roman"/>
          <w:sz w:val="24"/>
          <w:szCs w:val="24"/>
        </w:rPr>
        <w:t>5/53</w:t>
      </w:r>
      <w:r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г., с наблюдаващ проучването член на КЗК Димитър Данаилов.</w:t>
      </w:r>
    </w:p>
    <w:p w:rsidR="00747D47" w:rsidRPr="00747D47" w:rsidRDefault="00C171BB" w:rsidP="00747D4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747D47" w:rsidRPr="00747D47">
        <w:rPr>
          <w:rFonts w:ascii="Times New Roman" w:hAnsi="Times New Roman" w:cs="Times New Roman"/>
          <w:sz w:val="24"/>
          <w:szCs w:val="24"/>
        </w:rPr>
        <w:t>основание чл. 217, ал. 4 от ЗОП във връзка с чл. 217, ал. 2 от ЗОП, Комисията за защита на конкуренцията</w:t>
      </w:r>
    </w:p>
    <w:p w:rsidR="00747D47" w:rsidRPr="00747D47" w:rsidRDefault="00747D47" w:rsidP="00747D47">
      <w:pPr>
        <w:ind w:right="1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7D47">
        <w:rPr>
          <w:rFonts w:ascii="Times New Roman" w:hAnsi="Times New Roman" w:cs="Times New Roman"/>
          <w:sz w:val="24"/>
          <w:szCs w:val="24"/>
        </w:rPr>
        <w:t>О П Р Е Д Е Л И:</w:t>
      </w:r>
    </w:p>
    <w:p w:rsidR="00747D47" w:rsidRPr="00747D47" w:rsidRDefault="00747D47" w:rsidP="00747D4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7D47" w:rsidRPr="00747D47" w:rsidRDefault="00747D47" w:rsidP="00747D4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D47">
        <w:rPr>
          <w:rFonts w:ascii="Times New Roman" w:hAnsi="Times New Roman" w:cs="Times New Roman"/>
          <w:sz w:val="24"/>
          <w:szCs w:val="24"/>
        </w:rPr>
        <w:t xml:space="preserve">ОСТАВЯ БЕЗ УВАЖЕНИЕ искането на „Светът на машините“ ЕООД, гр. Дупница за изменение на Решение № 100/05.02.2026 г., постановено по преписка № КЗК – 5/53/2028 г. в частта за разноските по т. 8 от диспозитива. </w:t>
      </w:r>
    </w:p>
    <w:p w:rsidR="00747D47" w:rsidRDefault="00747D47" w:rsidP="00747D47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D47">
        <w:rPr>
          <w:rFonts w:ascii="Times New Roman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14-дневен срок от съобщаването му на страните.</w:t>
      </w:r>
    </w:p>
    <w:p w:rsidR="00C171BB" w:rsidRDefault="00C171BB" w:rsidP="00747D47">
      <w:pPr>
        <w:ind w:right="18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C171BB" w:rsidRDefault="00C171BB" w:rsidP="00C171B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71BB" w:rsidRDefault="00C171BB" w:rsidP="00C171B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71BB" w:rsidRDefault="00C171BB" w:rsidP="00C171BB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71BB" w:rsidRDefault="00C171BB" w:rsidP="00C171B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171BB" w:rsidRDefault="00C171BB" w:rsidP="00C171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Default="00C171BB" w:rsidP="00C171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171BB" w:rsidRDefault="00C171BB" w:rsidP="00C171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Default="00C171BB" w:rsidP="00C171B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1BB" w:rsidRDefault="00C171BB" w:rsidP="00C171B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171BB" w:rsidRDefault="00C171BB" w:rsidP="00C171B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02829" w:rsidRDefault="00C171BB" w:rsidP="00747D47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02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BB"/>
    <w:rsid w:val="00102829"/>
    <w:rsid w:val="00747D47"/>
    <w:rsid w:val="00C1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F935"/>
  <w15:chartTrackingRefBased/>
  <w15:docId w15:val="{B9F7ACA1-5F73-4228-AAAF-542AA018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1B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2026-03-20T08:05:00Z</dcterms:created>
  <dcterms:modified xsi:type="dcterms:W3CDTF">2026-03-20T08:14:00Z</dcterms:modified>
</cp:coreProperties>
</file>